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9" w:rsidRDefault="00112490" w:rsidP="000821E0">
      <w:pPr>
        <w:jc w:val="center"/>
        <w:rPr>
          <w:color w:val="808080" w:themeColor="background1" w:themeShade="8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04875" cy="6337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8153400</wp:posOffset>
            </wp:positionH>
            <wp:positionV relativeFrom="paragraph">
              <wp:posOffset>635</wp:posOffset>
            </wp:positionV>
            <wp:extent cx="781050" cy="6432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49" w:rsidRPr="00306019">
        <w:rPr>
          <w:color w:val="808080" w:themeColor="background1" w:themeShade="80"/>
          <w:sz w:val="36"/>
        </w:rPr>
        <w:t>Iowa MIECHV FY18 HRSA Benchmark Measures Update</w:t>
      </w:r>
    </w:p>
    <w:p w:rsidR="000821E0" w:rsidRPr="00B63627" w:rsidRDefault="00B63627" w:rsidP="00B63627">
      <w:pPr>
        <w:rPr>
          <w:color w:val="808080" w:themeColor="background1" w:themeShade="80"/>
          <w:sz w:val="28"/>
        </w:rPr>
      </w:pPr>
      <w:r w:rsidRPr="004538FA">
        <w:rPr>
          <w:color w:val="808080" w:themeColor="background1" w:themeShade="80"/>
          <w:sz w:val="24"/>
        </w:rPr>
        <w:t xml:space="preserve">The table below outlines </w:t>
      </w:r>
      <w:r w:rsidR="00125E64" w:rsidRPr="004538FA">
        <w:rPr>
          <w:color w:val="808080" w:themeColor="background1" w:themeShade="80"/>
          <w:sz w:val="24"/>
        </w:rPr>
        <w:t xml:space="preserve">MIECHV </w:t>
      </w:r>
      <w:r w:rsidRPr="004538FA">
        <w:rPr>
          <w:color w:val="808080" w:themeColor="background1" w:themeShade="80"/>
          <w:sz w:val="24"/>
        </w:rPr>
        <w:t xml:space="preserve">benchmark </w:t>
      </w:r>
      <w:r w:rsidR="00125E64" w:rsidRPr="004538FA">
        <w:rPr>
          <w:color w:val="808080" w:themeColor="background1" w:themeShade="80"/>
          <w:sz w:val="24"/>
        </w:rPr>
        <w:t>measures that have been changed by HRSA for FY18 that required changes in DAISEY and reports. There are additional HRSA changes that do not impact Iowa MIECHV programs</w:t>
      </w:r>
      <w:r w:rsidR="0081410C" w:rsidRPr="004538FA">
        <w:rPr>
          <w:color w:val="808080" w:themeColor="background1" w:themeShade="80"/>
          <w:sz w:val="24"/>
        </w:rPr>
        <w:t xml:space="preserve"> that are not listed below</w:t>
      </w:r>
      <w:r w:rsidR="00125E64" w:rsidRPr="004538FA">
        <w:rPr>
          <w:color w:val="808080" w:themeColor="background1" w:themeShade="80"/>
          <w:sz w:val="24"/>
        </w:rPr>
        <w:t xml:space="preserve">, you can find all the changes here: </w:t>
      </w:r>
      <w:hyperlink r:id="rId9" w:history="1">
        <w:r w:rsidR="005E2AED" w:rsidRPr="005E2AED">
          <w:rPr>
            <w:rStyle w:val="Hyperlink"/>
            <w:color w:val="023160" w:themeColor="hyperlink" w:themeShade="80"/>
          </w:rPr>
          <w:t>https://mchb.hrsa.gov/sites/default/files/mchb/MaternalChildHealthTopics/maternal-womens-health/fy-18-performance-measurement-guidance-updates.pdf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6"/>
        <w:gridCol w:w="4228"/>
        <w:gridCol w:w="4003"/>
        <w:gridCol w:w="4093"/>
      </w:tblGrid>
      <w:tr w:rsidR="00502357" w:rsidRPr="00112490" w:rsidTr="00620336">
        <w:tc>
          <w:tcPr>
            <w:tcW w:w="718" w:type="pct"/>
            <w:vAlign w:val="center"/>
          </w:tcPr>
          <w:p w:rsidR="00885612" w:rsidRPr="00112490" w:rsidRDefault="00885612" w:rsidP="009E48A8">
            <w:pPr>
              <w:jc w:val="center"/>
              <w:rPr>
                <w:b/>
                <w:color w:val="808080" w:themeColor="background1" w:themeShade="80"/>
                <w:sz w:val="24"/>
                <w:u w:val="single"/>
              </w:rPr>
            </w:pPr>
            <w:r w:rsidRPr="00112490">
              <w:rPr>
                <w:b/>
                <w:color w:val="808080" w:themeColor="background1" w:themeShade="80"/>
                <w:sz w:val="24"/>
                <w:u w:val="single"/>
              </w:rPr>
              <w:t xml:space="preserve">Measure </w:t>
            </w:r>
          </w:p>
        </w:tc>
        <w:tc>
          <w:tcPr>
            <w:tcW w:w="1469" w:type="pct"/>
          </w:tcPr>
          <w:p w:rsidR="00885612" w:rsidRPr="00112490" w:rsidRDefault="00885612" w:rsidP="00885612">
            <w:pPr>
              <w:jc w:val="center"/>
              <w:rPr>
                <w:b/>
                <w:color w:val="808080" w:themeColor="background1" w:themeShade="80"/>
                <w:sz w:val="24"/>
                <w:u w:val="single"/>
              </w:rPr>
            </w:pPr>
            <w:r w:rsidRPr="00112490">
              <w:rPr>
                <w:b/>
                <w:color w:val="808080" w:themeColor="background1" w:themeShade="80"/>
                <w:sz w:val="24"/>
                <w:u w:val="single"/>
              </w:rPr>
              <w:t>Current</w:t>
            </w:r>
          </w:p>
        </w:tc>
        <w:tc>
          <w:tcPr>
            <w:tcW w:w="1391" w:type="pct"/>
          </w:tcPr>
          <w:p w:rsidR="00885612" w:rsidRPr="00112490" w:rsidRDefault="00885612" w:rsidP="00885612">
            <w:pPr>
              <w:jc w:val="center"/>
              <w:rPr>
                <w:b/>
                <w:color w:val="808080" w:themeColor="background1" w:themeShade="80"/>
                <w:sz w:val="24"/>
                <w:u w:val="single"/>
              </w:rPr>
            </w:pPr>
            <w:r w:rsidRPr="00112490">
              <w:rPr>
                <w:b/>
                <w:color w:val="808080" w:themeColor="background1" w:themeShade="80"/>
                <w:sz w:val="24"/>
                <w:u w:val="single"/>
              </w:rPr>
              <w:t>Update</w:t>
            </w:r>
          </w:p>
        </w:tc>
        <w:tc>
          <w:tcPr>
            <w:tcW w:w="1422" w:type="pct"/>
          </w:tcPr>
          <w:p w:rsidR="00885612" w:rsidRPr="00112490" w:rsidRDefault="00885612" w:rsidP="00885612">
            <w:pPr>
              <w:jc w:val="center"/>
              <w:rPr>
                <w:b/>
                <w:color w:val="808080" w:themeColor="background1" w:themeShade="80"/>
                <w:sz w:val="24"/>
                <w:u w:val="single"/>
              </w:rPr>
            </w:pPr>
            <w:r w:rsidRPr="00112490">
              <w:rPr>
                <w:b/>
                <w:color w:val="808080" w:themeColor="background1" w:themeShade="80"/>
                <w:sz w:val="24"/>
                <w:u w:val="single"/>
              </w:rPr>
              <w:t>Change</w:t>
            </w:r>
          </w:p>
        </w:tc>
      </w:tr>
      <w:tr w:rsidR="00502357" w:rsidRPr="00112490" w:rsidTr="00620336">
        <w:tc>
          <w:tcPr>
            <w:tcW w:w="718" w:type="pct"/>
            <w:vAlign w:val="center"/>
          </w:tcPr>
          <w:p w:rsidR="00620336" w:rsidRDefault="00A8603A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 xml:space="preserve">6 </w:t>
            </w:r>
            <w:r w:rsidR="00620336">
              <w:rPr>
                <w:b/>
                <w:color w:val="808080" w:themeColor="background1" w:themeShade="80"/>
                <w:sz w:val="20"/>
              </w:rPr>
              <w:t>–</w:t>
            </w:r>
          </w:p>
          <w:p w:rsidR="00885612" w:rsidRPr="00112490" w:rsidRDefault="00885612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Tobacco Cessation Referrals</w:t>
            </w:r>
          </w:p>
        </w:tc>
        <w:tc>
          <w:tcPr>
            <w:tcW w:w="1469" w:type="pct"/>
            <w:vAlign w:val="center"/>
          </w:tcPr>
          <w:p w:rsidR="00885612" w:rsidRPr="00112490" w:rsidRDefault="00885612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Percent of primary caregivers enrolled in home visiting who reported using tobacco or cigarettes at enrollment and were referred to tobacco cessation counseling or services within 3 months of enrollment.</w:t>
            </w:r>
          </w:p>
        </w:tc>
        <w:tc>
          <w:tcPr>
            <w:tcW w:w="1391" w:type="pct"/>
            <w:vAlign w:val="center"/>
          </w:tcPr>
          <w:p w:rsidR="00885612" w:rsidRPr="00112490" w:rsidRDefault="00885612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Primary caregivers should be excluded from the denominator if they were already receiving tobacco cessation services at enrollment</w:t>
            </w:r>
            <w:r w:rsidR="005A7257" w:rsidRPr="00112490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1422" w:type="pct"/>
            <w:vAlign w:val="center"/>
          </w:tcPr>
          <w:p w:rsidR="006147FB" w:rsidRPr="00112490" w:rsidRDefault="00885612" w:rsidP="006147FB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 xml:space="preserve">If someone answers “Yes” to “Someone in the home </w:t>
            </w:r>
            <w:r w:rsidR="005A7257" w:rsidRPr="00112490">
              <w:rPr>
                <w:color w:val="808080" w:themeColor="background1" w:themeShade="80"/>
                <w:sz w:val="20"/>
              </w:rPr>
              <w:t>uses tobacco products” on the Enrollment &amp; Annual Report- Primary Caregiver</w:t>
            </w:r>
            <w:r w:rsidR="0081410C" w:rsidRPr="00112490">
              <w:rPr>
                <w:color w:val="808080" w:themeColor="background1" w:themeShade="80"/>
                <w:sz w:val="20"/>
              </w:rPr>
              <w:t xml:space="preserve"> form</w:t>
            </w:r>
            <w:r w:rsidR="005A7257" w:rsidRPr="00112490">
              <w:rPr>
                <w:color w:val="808080" w:themeColor="background1" w:themeShade="80"/>
                <w:sz w:val="20"/>
              </w:rPr>
              <w:t>, a new question will need to be answered. “At enrollment, is this person receiving tobacco cessation services?” If “Yes”, they will not be included in this measure.</w:t>
            </w:r>
          </w:p>
        </w:tc>
      </w:tr>
      <w:tr w:rsidR="00502357" w:rsidRPr="00112490" w:rsidTr="00620336">
        <w:tc>
          <w:tcPr>
            <w:tcW w:w="718" w:type="pct"/>
            <w:vAlign w:val="center"/>
          </w:tcPr>
          <w:p w:rsidR="00A8603A" w:rsidRPr="00112490" w:rsidRDefault="00A8603A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10 -</w:t>
            </w:r>
          </w:p>
          <w:p w:rsidR="00885612" w:rsidRPr="00112490" w:rsidRDefault="00885612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Parent-Child Interaction (PICCOLO)</w:t>
            </w:r>
          </w:p>
        </w:tc>
        <w:tc>
          <w:tcPr>
            <w:tcW w:w="1469" w:type="pct"/>
            <w:vAlign w:val="center"/>
          </w:tcPr>
          <w:p w:rsidR="00885612" w:rsidRPr="00112490" w:rsidRDefault="005A7257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 xml:space="preserve">Percent of primary caregivers enrolled in home </w:t>
            </w:r>
            <w:r w:rsidR="007519A0" w:rsidRPr="00112490">
              <w:rPr>
                <w:color w:val="808080" w:themeColor="background1" w:themeShade="80"/>
                <w:sz w:val="20"/>
              </w:rPr>
              <w:t>visiting</w:t>
            </w:r>
            <w:r w:rsidRPr="00112490">
              <w:rPr>
                <w:color w:val="808080" w:themeColor="background1" w:themeShade="80"/>
                <w:sz w:val="20"/>
              </w:rPr>
              <w:t xml:space="preserve"> who receive an observation of caregiver-child interaction by the home visitor using a validated tool.</w:t>
            </w:r>
          </w:p>
        </w:tc>
        <w:tc>
          <w:tcPr>
            <w:tcW w:w="1391" w:type="pct"/>
            <w:vAlign w:val="center"/>
          </w:tcPr>
          <w:p w:rsidR="00885612" w:rsidRPr="00112490" w:rsidRDefault="005A7257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Only one observation per primary caregiver should be reported (</w:t>
            </w:r>
            <w:r w:rsidR="004853D6" w:rsidRPr="00112490">
              <w:rPr>
                <w:color w:val="808080" w:themeColor="background1" w:themeShade="80"/>
                <w:sz w:val="20"/>
              </w:rPr>
              <w:t>not for each parent-child dyad) if they have at least one child in the targeted age range of the tool.</w:t>
            </w:r>
          </w:p>
        </w:tc>
        <w:tc>
          <w:tcPr>
            <w:tcW w:w="1422" w:type="pct"/>
            <w:vAlign w:val="center"/>
          </w:tcPr>
          <w:p w:rsidR="006147FB" w:rsidRPr="00112490" w:rsidRDefault="004853D6" w:rsidP="006147FB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Every child who meets the age criteria of receiving a PCI should receive one, but it is only necessary to report on one for the primary caregiver. If there are two children in a household who meet the age criteria, the observation should be done as indicated on the tool, but only one observation should be reported for the caregiver.</w:t>
            </w:r>
          </w:p>
        </w:tc>
      </w:tr>
      <w:tr w:rsidR="00502357" w:rsidRPr="00112490" w:rsidTr="00620336">
        <w:tc>
          <w:tcPr>
            <w:tcW w:w="718" w:type="pct"/>
            <w:vAlign w:val="center"/>
          </w:tcPr>
          <w:p w:rsidR="00794C93" w:rsidRPr="00112490" w:rsidRDefault="00794C93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12 -</w:t>
            </w:r>
          </w:p>
          <w:p w:rsidR="00885612" w:rsidRPr="00112490" w:rsidRDefault="00885612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Developmental Screening</w:t>
            </w:r>
          </w:p>
        </w:tc>
        <w:tc>
          <w:tcPr>
            <w:tcW w:w="1469" w:type="pct"/>
            <w:vAlign w:val="center"/>
          </w:tcPr>
          <w:p w:rsidR="00885612" w:rsidRPr="00112490" w:rsidRDefault="004853D6" w:rsidP="004853D6">
            <w:pPr>
              <w:pStyle w:val="Default"/>
              <w:rPr>
                <w:color w:val="808080" w:themeColor="background1" w:themeShade="80"/>
                <w:sz w:val="20"/>
                <w:szCs w:val="21"/>
              </w:rPr>
            </w:pPr>
            <w:r w:rsidRPr="00112490">
              <w:rPr>
                <w:color w:val="808080" w:themeColor="background1" w:themeShade="80"/>
                <w:sz w:val="20"/>
                <w:szCs w:val="21"/>
              </w:rPr>
              <w:t>Percent of children</w:t>
            </w:r>
            <w:r w:rsidR="00B06F97" w:rsidRPr="00112490">
              <w:rPr>
                <w:color w:val="808080" w:themeColor="background1" w:themeShade="80"/>
                <w:sz w:val="20"/>
                <w:szCs w:val="21"/>
              </w:rPr>
              <w:t xml:space="preserve"> </w:t>
            </w:r>
            <w:r w:rsidRPr="00112490">
              <w:rPr>
                <w:color w:val="808080" w:themeColor="background1" w:themeShade="80"/>
                <w:sz w:val="20"/>
                <w:szCs w:val="21"/>
              </w:rPr>
              <w:t xml:space="preserve">enrolled in home visiting with a timely screen for developmental delays using a </w:t>
            </w:r>
            <w:r w:rsidR="00620336">
              <w:rPr>
                <w:color w:val="808080" w:themeColor="background1" w:themeShade="80"/>
                <w:sz w:val="20"/>
                <w:szCs w:val="21"/>
              </w:rPr>
              <w:t>validated parent-completed tool.</w:t>
            </w:r>
          </w:p>
        </w:tc>
        <w:tc>
          <w:tcPr>
            <w:tcW w:w="1391" w:type="pct"/>
            <w:vAlign w:val="center"/>
          </w:tcPr>
          <w:p w:rsidR="00885612" w:rsidRPr="00112490" w:rsidRDefault="004853D6" w:rsidP="004853D6">
            <w:pPr>
              <w:pStyle w:val="Default"/>
              <w:rPr>
                <w:color w:val="808080" w:themeColor="background1" w:themeShade="80"/>
                <w:sz w:val="20"/>
                <w:szCs w:val="21"/>
              </w:rPr>
            </w:pPr>
            <w:r w:rsidRPr="00112490">
              <w:rPr>
                <w:color w:val="808080" w:themeColor="background1" w:themeShade="80"/>
                <w:sz w:val="20"/>
                <w:szCs w:val="21"/>
              </w:rPr>
              <w:t xml:space="preserve">Children </w:t>
            </w:r>
            <w:r w:rsidRPr="00112490">
              <w:rPr>
                <w:b/>
                <w:bCs/>
                <w:i/>
                <w:iCs/>
                <w:color w:val="808080" w:themeColor="background1" w:themeShade="80"/>
                <w:sz w:val="20"/>
                <w:szCs w:val="21"/>
              </w:rPr>
              <w:t xml:space="preserve">may be </w:t>
            </w:r>
            <w:r w:rsidRPr="00112490">
              <w:rPr>
                <w:color w:val="808080" w:themeColor="background1" w:themeShade="80"/>
                <w:sz w:val="20"/>
                <w:szCs w:val="21"/>
              </w:rPr>
              <w:t>excluded from the denominator if they have a previously identified developmental delay (prior to enrollment or prior to reaching an age-recommended screening.</w:t>
            </w:r>
          </w:p>
        </w:tc>
        <w:tc>
          <w:tcPr>
            <w:tcW w:w="1422" w:type="pct"/>
            <w:vAlign w:val="center"/>
          </w:tcPr>
          <w:p w:rsidR="006147FB" w:rsidRPr="00112490" w:rsidRDefault="004853D6" w:rsidP="006147FB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 xml:space="preserve">When “If this tool was unable to be completed, please specify why:” is “This child is enrolled in EI and I could not..." or "This child is enrolled in EI and their AEA..." </w:t>
            </w:r>
            <w:r w:rsidR="00987587" w:rsidRPr="00112490">
              <w:rPr>
                <w:color w:val="808080" w:themeColor="background1" w:themeShade="80"/>
                <w:sz w:val="20"/>
              </w:rPr>
              <w:t xml:space="preserve">on an </w:t>
            </w:r>
            <w:r w:rsidR="00B06F97" w:rsidRPr="00112490">
              <w:rPr>
                <w:color w:val="808080" w:themeColor="background1" w:themeShade="80"/>
                <w:sz w:val="20"/>
              </w:rPr>
              <w:t xml:space="preserve">ASQ-3 </w:t>
            </w:r>
            <w:r w:rsidRPr="00112490">
              <w:rPr>
                <w:color w:val="808080" w:themeColor="background1" w:themeShade="80"/>
                <w:sz w:val="20"/>
              </w:rPr>
              <w:t>t</w:t>
            </w:r>
            <w:r w:rsidR="00B06F97" w:rsidRPr="00112490">
              <w:rPr>
                <w:color w:val="808080" w:themeColor="background1" w:themeShade="80"/>
                <w:sz w:val="20"/>
              </w:rPr>
              <w:t>hey will not be included in this measure.</w:t>
            </w:r>
          </w:p>
        </w:tc>
      </w:tr>
      <w:tr w:rsidR="00502357" w:rsidRPr="00112490" w:rsidTr="00620336">
        <w:tc>
          <w:tcPr>
            <w:tcW w:w="718" w:type="pct"/>
            <w:vAlign w:val="center"/>
          </w:tcPr>
          <w:p w:rsidR="00794C93" w:rsidRPr="00112490" w:rsidRDefault="00794C93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15 -</w:t>
            </w:r>
          </w:p>
          <w:p w:rsidR="00885612" w:rsidRPr="00112490" w:rsidRDefault="00885612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Primary Caregiver Education</w:t>
            </w:r>
          </w:p>
        </w:tc>
        <w:tc>
          <w:tcPr>
            <w:tcW w:w="1469" w:type="pct"/>
            <w:vAlign w:val="center"/>
          </w:tcPr>
          <w:p w:rsidR="00885612" w:rsidRPr="00620336" w:rsidRDefault="00C41734" w:rsidP="00620336">
            <w:pPr>
              <w:pStyle w:val="Default"/>
              <w:rPr>
                <w:color w:val="808080" w:themeColor="background1" w:themeShade="80"/>
                <w:sz w:val="20"/>
                <w:szCs w:val="19"/>
              </w:rPr>
            </w:pPr>
            <w:r w:rsidRPr="00112490">
              <w:rPr>
                <w:color w:val="808080" w:themeColor="background1" w:themeShade="80"/>
                <w:sz w:val="20"/>
                <w:szCs w:val="19"/>
              </w:rPr>
              <w:t xml:space="preserve">Percent of primary caregivers who enrolled in home visiting without a high school degree or equivalent who subsequently enrolled in, maintained continuous enrollment in, or completed high school or equivalent </w:t>
            </w:r>
            <w:r w:rsidRPr="00112490">
              <w:rPr>
                <w:color w:val="808080" w:themeColor="background1" w:themeShade="80"/>
                <w:sz w:val="20"/>
                <w:szCs w:val="21"/>
              </w:rPr>
              <w:t>during their</w:t>
            </w:r>
            <w:r w:rsidR="00620336">
              <w:rPr>
                <w:color w:val="808080" w:themeColor="background1" w:themeShade="80"/>
                <w:sz w:val="20"/>
                <w:szCs w:val="21"/>
              </w:rPr>
              <w:t xml:space="preserve"> participation in home visiting.</w:t>
            </w:r>
          </w:p>
        </w:tc>
        <w:tc>
          <w:tcPr>
            <w:tcW w:w="1391" w:type="pct"/>
            <w:vAlign w:val="center"/>
          </w:tcPr>
          <w:p w:rsidR="00885612" w:rsidRPr="00620336" w:rsidRDefault="00C41734" w:rsidP="00620336">
            <w:pPr>
              <w:pStyle w:val="Default"/>
              <w:rPr>
                <w:color w:val="808080" w:themeColor="background1" w:themeShade="80"/>
                <w:sz w:val="20"/>
                <w:szCs w:val="19"/>
              </w:rPr>
            </w:pPr>
            <w:r w:rsidRPr="00112490">
              <w:rPr>
                <w:color w:val="808080" w:themeColor="background1" w:themeShade="80"/>
                <w:sz w:val="20"/>
                <w:szCs w:val="19"/>
              </w:rPr>
              <w:t xml:space="preserve">Percent of primary caregivers who enrolled in home visiting without a </w:t>
            </w:r>
            <w:r w:rsidR="00DF2367">
              <w:rPr>
                <w:color w:val="808080" w:themeColor="background1" w:themeShade="80"/>
                <w:sz w:val="20"/>
                <w:szCs w:val="19"/>
              </w:rPr>
              <w:t>middle school/</w:t>
            </w:r>
            <w:r w:rsidRPr="00112490">
              <w:rPr>
                <w:color w:val="808080" w:themeColor="background1" w:themeShade="80"/>
                <w:sz w:val="20"/>
                <w:szCs w:val="19"/>
              </w:rPr>
              <w:t>high school degree or equivalent who subsequently enrolled in, maintain</w:t>
            </w:r>
            <w:bookmarkStart w:id="0" w:name="_GoBack"/>
            <w:bookmarkEnd w:id="0"/>
            <w:r w:rsidRPr="00112490">
              <w:rPr>
                <w:color w:val="808080" w:themeColor="background1" w:themeShade="80"/>
                <w:sz w:val="20"/>
                <w:szCs w:val="19"/>
              </w:rPr>
              <w:t xml:space="preserve">ed continuous enrollment in, or completed </w:t>
            </w:r>
            <w:r w:rsidR="00DF2367">
              <w:rPr>
                <w:color w:val="808080" w:themeColor="background1" w:themeShade="80"/>
                <w:sz w:val="20"/>
                <w:szCs w:val="19"/>
              </w:rPr>
              <w:t>middle school/</w:t>
            </w:r>
            <w:r w:rsidRPr="00112490">
              <w:rPr>
                <w:color w:val="808080" w:themeColor="background1" w:themeShade="80"/>
                <w:sz w:val="20"/>
                <w:szCs w:val="19"/>
              </w:rPr>
              <w:t xml:space="preserve">high school or equivalent </w:t>
            </w:r>
            <w:r w:rsidRPr="00112490">
              <w:rPr>
                <w:color w:val="808080" w:themeColor="background1" w:themeShade="80"/>
                <w:sz w:val="20"/>
                <w:szCs w:val="21"/>
              </w:rPr>
              <w:t xml:space="preserve">during their participation in home visiting </w:t>
            </w:r>
            <w:r w:rsidR="00620336">
              <w:rPr>
                <w:color w:val="808080" w:themeColor="background1" w:themeShade="80"/>
                <w:sz w:val="20"/>
                <w:szCs w:val="21"/>
              </w:rPr>
              <w:t>.</w:t>
            </w:r>
          </w:p>
        </w:tc>
        <w:tc>
          <w:tcPr>
            <w:tcW w:w="1422" w:type="pct"/>
            <w:vAlign w:val="center"/>
          </w:tcPr>
          <w:p w:rsidR="00885612" w:rsidRPr="00112490" w:rsidRDefault="008B0F41" w:rsidP="006147FB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No change in data collection or reporting, simply changed the wording of the question on the EAR- Primary Caregiver.</w:t>
            </w:r>
          </w:p>
        </w:tc>
      </w:tr>
      <w:tr w:rsidR="00502357" w:rsidRPr="00112490" w:rsidTr="00620336">
        <w:tc>
          <w:tcPr>
            <w:tcW w:w="718" w:type="pct"/>
            <w:vAlign w:val="center"/>
          </w:tcPr>
          <w:p w:rsidR="00794C93" w:rsidRPr="00112490" w:rsidRDefault="00794C93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16 -</w:t>
            </w:r>
          </w:p>
          <w:p w:rsidR="00885612" w:rsidRPr="00112490" w:rsidRDefault="00885612" w:rsidP="00620336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112490">
              <w:rPr>
                <w:b/>
                <w:color w:val="808080" w:themeColor="background1" w:themeShade="80"/>
                <w:sz w:val="20"/>
              </w:rPr>
              <w:t>Continuity of Health Insurance Coverage</w:t>
            </w:r>
          </w:p>
        </w:tc>
        <w:tc>
          <w:tcPr>
            <w:tcW w:w="1469" w:type="pct"/>
            <w:vAlign w:val="center"/>
          </w:tcPr>
          <w:p w:rsidR="00885612" w:rsidRPr="00112490" w:rsidRDefault="002E4870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Percent of primary caregivers enrolled in home visiting who had continuous health insurance coverage for at least 6 consecutive months.</w:t>
            </w:r>
          </w:p>
        </w:tc>
        <w:tc>
          <w:tcPr>
            <w:tcW w:w="1391" w:type="pct"/>
            <w:vAlign w:val="center"/>
          </w:tcPr>
          <w:p w:rsidR="00885612" w:rsidRPr="00112490" w:rsidRDefault="00DF2367" w:rsidP="005A7257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Percent of primary caregivers enrolled in home visiting who had continuous health insurance coverage fo</w:t>
            </w:r>
            <w:r>
              <w:rPr>
                <w:color w:val="808080" w:themeColor="background1" w:themeShade="80"/>
                <w:sz w:val="20"/>
              </w:rPr>
              <w:t>r at least 6 consecutive months in the same reporting period.</w:t>
            </w:r>
          </w:p>
        </w:tc>
        <w:tc>
          <w:tcPr>
            <w:tcW w:w="1422" w:type="pct"/>
            <w:vAlign w:val="center"/>
          </w:tcPr>
          <w:p w:rsidR="00885612" w:rsidRPr="00112490" w:rsidRDefault="00FD7CAA" w:rsidP="006147FB">
            <w:pPr>
              <w:rPr>
                <w:color w:val="808080" w:themeColor="background1" w:themeShade="80"/>
                <w:sz w:val="20"/>
              </w:rPr>
            </w:pPr>
            <w:r w:rsidRPr="00112490">
              <w:rPr>
                <w:color w:val="808080" w:themeColor="background1" w:themeShade="80"/>
                <w:sz w:val="20"/>
              </w:rPr>
              <w:t>No change in data coll</w:t>
            </w:r>
            <w:r w:rsidR="008B0F41" w:rsidRPr="00112490">
              <w:rPr>
                <w:color w:val="808080" w:themeColor="background1" w:themeShade="80"/>
                <w:sz w:val="20"/>
              </w:rPr>
              <w:t>ection or reporting, this will be calculated</w:t>
            </w:r>
            <w:r w:rsidR="00620336">
              <w:rPr>
                <w:color w:val="808080" w:themeColor="background1" w:themeShade="80"/>
                <w:sz w:val="20"/>
              </w:rPr>
              <w:t>.</w:t>
            </w:r>
          </w:p>
        </w:tc>
      </w:tr>
    </w:tbl>
    <w:p w:rsidR="00873598" w:rsidRDefault="00873598" w:rsidP="00112490"/>
    <w:sectPr w:rsidR="00873598" w:rsidSect="00112490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B4" w:rsidRDefault="00FB3BB4" w:rsidP="000821E0">
      <w:pPr>
        <w:spacing w:after="0" w:line="240" w:lineRule="auto"/>
      </w:pPr>
      <w:r>
        <w:separator/>
      </w:r>
    </w:p>
  </w:endnote>
  <w:endnote w:type="continuationSeparator" w:id="0">
    <w:p w:rsidR="00FB3BB4" w:rsidRDefault="00FB3BB4" w:rsidP="000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5" w:rsidRPr="00DF2367" w:rsidRDefault="00DF2367" w:rsidP="00DF2367">
    <w:pPr>
      <w:pStyle w:val="Footer"/>
      <w:jc w:val="center"/>
      <w:rPr>
        <w:color w:val="BFBFBF" w:themeColor="background1" w:themeShade="BF"/>
        <w:sz w:val="18"/>
      </w:rPr>
    </w:pPr>
    <w:r w:rsidRPr="00DF2367">
      <w:rPr>
        <w:color w:val="BFBFBF" w:themeColor="background1" w:themeShade="BF"/>
        <w:sz w:val="18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B4" w:rsidRDefault="00FB3BB4" w:rsidP="000821E0">
      <w:pPr>
        <w:spacing w:after="0" w:line="240" w:lineRule="auto"/>
      </w:pPr>
      <w:r>
        <w:separator/>
      </w:r>
    </w:p>
  </w:footnote>
  <w:footnote w:type="continuationSeparator" w:id="0">
    <w:p w:rsidR="00FB3BB4" w:rsidRDefault="00FB3BB4" w:rsidP="000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E0" w:rsidRDefault="000821E0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9"/>
    <w:rsid w:val="000773C9"/>
    <w:rsid w:val="000821E0"/>
    <w:rsid w:val="00112490"/>
    <w:rsid w:val="00125E64"/>
    <w:rsid w:val="002E4870"/>
    <w:rsid w:val="00306019"/>
    <w:rsid w:val="004538FA"/>
    <w:rsid w:val="004853D6"/>
    <w:rsid w:val="00502357"/>
    <w:rsid w:val="005673A5"/>
    <w:rsid w:val="00577A30"/>
    <w:rsid w:val="005943BD"/>
    <w:rsid w:val="005A7257"/>
    <w:rsid w:val="005E2AED"/>
    <w:rsid w:val="006147FB"/>
    <w:rsid w:val="00620336"/>
    <w:rsid w:val="00662D05"/>
    <w:rsid w:val="006871AB"/>
    <w:rsid w:val="007519A0"/>
    <w:rsid w:val="00794C93"/>
    <w:rsid w:val="007B4BED"/>
    <w:rsid w:val="0081410C"/>
    <w:rsid w:val="00873598"/>
    <w:rsid w:val="00885612"/>
    <w:rsid w:val="008B0F41"/>
    <w:rsid w:val="008D5749"/>
    <w:rsid w:val="008F7E35"/>
    <w:rsid w:val="00987587"/>
    <w:rsid w:val="009E48A8"/>
    <w:rsid w:val="00A8603A"/>
    <w:rsid w:val="00B06F97"/>
    <w:rsid w:val="00B63627"/>
    <w:rsid w:val="00C41734"/>
    <w:rsid w:val="00DF2367"/>
    <w:rsid w:val="00E55B86"/>
    <w:rsid w:val="00EE6815"/>
    <w:rsid w:val="00FB3BB4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69C4"/>
  <w15:chartTrackingRefBased/>
  <w15:docId w15:val="{3C42BDAB-B877-4AB6-B507-1B40EED5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A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E0"/>
  </w:style>
  <w:style w:type="paragraph" w:styleId="Footer">
    <w:name w:val="footer"/>
    <w:basedOn w:val="Normal"/>
    <w:link w:val="FooterChar"/>
    <w:uiPriority w:val="99"/>
    <w:unhideWhenUsed/>
    <w:rsid w:val="000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chb.hrsa.gov/sites/default/files/mchb/MaternalChildHealthTopics/maternal-womens-health/fy-18-performance-measurement-guidance-up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7C66-F0C0-472C-B882-AA21D08B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Sarah A</dc:creator>
  <cp:keywords/>
  <dc:description/>
  <cp:lastModifiedBy>Hernandez, Sarah A</cp:lastModifiedBy>
  <cp:revision>4</cp:revision>
  <dcterms:created xsi:type="dcterms:W3CDTF">2018-06-25T18:03:00Z</dcterms:created>
  <dcterms:modified xsi:type="dcterms:W3CDTF">2018-07-23T14:49:00Z</dcterms:modified>
</cp:coreProperties>
</file>